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5B4" w:rsidRDefault="00FA4E1B">
      <w:pPr>
        <w:pStyle w:val="Titolo"/>
        <w:numPr>
          <w:ilvl w:val="0"/>
          <w:numId w:val="1"/>
        </w:numPr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Scheda di sintesi sulla rilevazione degli OIV o organismi con funzioni analoghe</w:t>
      </w:r>
    </w:p>
    <w:p w:rsidR="00CD35B4" w:rsidRDefault="00CD35B4">
      <w:pPr>
        <w:pStyle w:val="Paragrafoelenco"/>
        <w:ind w:left="0" w:firstLine="0"/>
        <w:rPr>
          <w:rFonts w:ascii="Titillium" w:hAnsi="Titillium"/>
          <w:sz w:val="20"/>
          <w:szCs w:val="20"/>
        </w:rPr>
      </w:pPr>
    </w:p>
    <w:p w:rsidR="00CD35B4" w:rsidRDefault="00FA4E1B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:rsidR="00CD35B4" w:rsidRDefault="00FA4E1B">
      <w:pPr>
        <w:pStyle w:val="Paragrafoelenco"/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Indicare la data di svolgimento della ri</w:t>
      </w:r>
      <w:r w:rsidR="000E005A">
        <w:rPr>
          <w:rFonts w:ascii="Titillium" w:hAnsi="Titillium"/>
          <w:sz w:val="20"/>
          <w:szCs w:val="20"/>
        </w:rPr>
        <w:t>levazione nel formato 28/06/2022</w:t>
      </w:r>
      <w:r>
        <w:rPr>
          <w:rFonts w:ascii="Titillium" w:hAnsi="Titillium"/>
          <w:sz w:val="20"/>
          <w:szCs w:val="20"/>
        </w:rPr>
        <w:t>.</w:t>
      </w:r>
    </w:p>
    <w:p w:rsidR="000E005A" w:rsidRDefault="000E005A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  <w:r>
        <w:rPr>
          <w:rFonts w:ascii="Titillium" w:hAnsi="Titillium"/>
          <w:sz w:val="20"/>
          <w:szCs w:val="20"/>
        </w:rPr>
        <w:t>D</w:t>
      </w:r>
      <w:r w:rsidR="00FA4E1B">
        <w:rPr>
          <w:rFonts w:ascii="Titillium" w:hAnsi="Titillium"/>
          <w:sz w:val="20"/>
          <w:szCs w:val="20"/>
          <w:u w:val="single"/>
        </w:rPr>
        <w:t xml:space="preserve">ata di inizio </w:t>
      </w:r>
      <w:r>
        <w:rPr>
          <w:rFonts w:ascii="Titillium" w:hAnsi="Titillium"/>
          <w:sz w:val="20"/>
          <w:szCs w:val="20"/>
        </w:rPr>
        <w:t xml:space="preserve">della rilevazione </w:t>
      </w:r>
      <w:r>
        <w:rPr>
          <w:rFonts w:ascii="Titillium" w:hAnsi="Titillium"/>
          <w:sz w:val="20"/>
          <w:szCs w:val="20"/>
          <w:u w:val="single"/>
        </w:rPr>
        <w:t>28/06/2022</w:t>
      </w:r>
    </w:p>
    <w:p w:rsidR="00CD35B4" w:rsidRDefault="000E005A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  <w:r>
        <w:rPr>
          <w:rFonts w:ascii="Titillium" w:hAnsi="Titillium"/>
          <w:sz w:val="20"/>
          <w:szCs w:val="20"/>
          <w:u w:val="single"/>
        </w:rPr>
        <w:t xml:space="preserve">Data </w:t>
      </w:r>
      <w:r w:rsidR="00FA4E1B">
        <w:rPr>
          <w:rFonts w:ascii="Titillium" w:hAnsi="Titillium"/>
          <w:sz w:val="20"/>
          <w:szCs w:val="20"/>
          <w:u w:val="single"/>
        </w:rPr>
        <w:t>di fine</w:t>
      </w:r>
      <w:r w:rsidR="00FA4E1B">
        <w:rPr>
          <w:rFonts w:ascii="Titillium" w:hAnsi="Titillium"/>
          <w:sz w:val="20"/>
          <w:szCs w:val="20"/>
        </w:rPr>
        <w:t xml:space="preserve"> della rilevazione</w:t>
      </w:r>
      <w:r>
        <w:rPr>
          <w:rFonts w:ascii="Titillium" w:hAnsi="Titillium"/>
          <w:sz w:val="20"/>
          <w:szCs w:val="20"/>
        </w:rPr>
        <w:t xml:space="preserve"> </w:t>
      </w:r>
      <w:bookmarkStart w:id="0" w:name="_GoBack"/>
      <w:r w:rsidRPr="000E005A">
        <w:rPr>
          <w:rFonts w:ascii="Titillium" w:hAnsi="Titillium"/>
          <w:sz w:val="20"/>
          <w:szCs w:val="20"/>
          <w:u w:val="single"/>
        </w:rPr>
        <w:t>28/06/2022</w:t>
      </w:r>
      <w:bookmarkEnd w:id="0"/>
      <w:r w:rsidR="00FA4E1B">
        <w:rPr>
          <w:rFonts w:ascii="Titillium" w:hAnsi="Titillium"/>
          <w:sz w:val="20"/>
          <w:szCs w:val="20"/>
        </w:rPr>
        <w:t>.</w:t>
      </w:r>
    </w:p>
    <w:p w:rsidR="00CD35B4" w:rsidRDefault="00CD35B4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</w:rPr>
      </w:pPr>
    </w:p>
    <w:p w:rsidR="00CD35B4" w:rsidRDefault="00FA4E1B">
      <w:pPr>
        <w:pStyle w:val="Paragrafoelenco"/>
        <w:spacing w:after="0"/>
        <w:ind w:left="0" w:firstLine="0"/>
        <w:rPr>
          <w:rFonts w:ascii="Titillium" w:hAnsi="Titillium"/>
          <w:b/>
          <w:i/>
          <w:sz w:val="20"/>
          <w:szCs w:val="20"/>
        </w:rPr>
      </w:pPr>
      <w:r>
        <w:rPr>
          <w:rFonts w:ascii="Titillium" w:hAnsi="Titillium"/>
          <w:b/>
          <w:i/>
          <w:sz w:val="20"/>
          <w:szCs w:val="20"/>
        </w:rPr>
        <w:t>Estensione della rilevazione (nel solo caso di amministrazioni/enti con uffici periferici)</w:t>
      </w:r>
    </w:p>
    <w:p w:rsidR="00CD35B4" w:rsidRDefault="00CD35B4">
      <w:pPr>
        <w:pStyle w:val="Paragrafoelenco"/>
        <w:spacing w:after="0"/>
        <w:ind w:left="0" w:firstLine="0"/>
        <w:rPr>
          <w:rFonts w:ascii="Titillium" w:hAnsi="Titillium"/>
          <w:b/>
          <w:sz w:val="20"/>
          <w:szCs w:val="20"/>
          <w:u w:val="single"/>
        </w:rPr>
      </w:pPr>
    </w:p>
    <w:p w:rsidR="00CD35B4" w:rsidRDefault="00FA4E1B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Indicare il numero complessivo degli uffici periferici esistenti e, se diverse, le tipologie di uffici periferici</w:t>
      </w:r>
      <w:r w:rsidR="000E005A">
        <w:rPr>
          <w:rFonts w:ascii="Titillium" w:hAnsi="Titillium"/>
          <w:sz w:val="20"/>
          <w:szCs w:val="20"/>
        </w:rPr>
        <w:t xml:space="preserve"> = 0</w:t>
      </w:r>
      <w:r>
        <w:rPr>
          <w:rFonts w:ascii="Titillium" w:hAnsi="Titillium"/>
          <w:sz w:val="20"/>
          <w:szCs w:val="20"/>
        </w:rPr>
        <w:t>.</w:t>
      </w:r>
    </w:p>
    <w:p w:rsidR="00CD35B4" w:rsidRDefault="00FA4E1B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Per la formazione del campione di uffici periferi</w:t>
      </w:r>
      <w:r>
        <w:rPr>
          <w:rFonts w:ascii="Titillium" w:hAnsi="Titillium"/>
          <w:sz w:val="20"/>
          <w:szCs w:val="20"/>
        </w:rPr>
        <w:t>ci su cui effettuare la rilevazione, indicare il cri</w:t>
      </w:r>
      <w:r w:rsidR="000E005A">
        <w:rPr>
          <w:rFonts w:ascii="Titillium" w:hAnsi="Titillium"/>
          <w:sz w:val="20"/>
          <w:szCs w:val="20"/>
        </w:rPr>
        <w:t>terio di selezione del campione = 0.</w:t>
      </w:r>
    </w:p>
    <w:p w:rsidR="00CD35B4" w:rsidRDefault="00FA4E1B">
      <w:pPr>
        <w:tabs>
          <w:tab w:val="left" w:pos="0"/>
        </w:tabs>
        <w:spacing w:after="0" w:line="360" w:lineRule="auto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Riportare l’elenco degl</w:t>
      </w:r>
      <w:r w:rsidR="000E005A">
        <w:rPr>
          <w:rFonts w:ascii="Titillium" w:hAnsi="Titillium"/>
          <w:sz w:val="20"/>
          <w:szCs w:val="20"/>
        </w:rPr>
        <w:t>i uffici periferici selezionati = 0.</w:t>
      </w:r>
    </w:p>
    <w:p w:rsidR="00CD35B4" w:rsidRDefault="00CD35B4">
      <w:pPr>
        <w:pStyle w:val="Paragrafoelenco"/>
        <w:spacing w:after="0" w:line="276" w:lineRule="auto"/>
        <w:ind w:left="720" w:firstLine="0"/>
        <w:rPr>
          <w:rFonts w:ascii="Titillium" w:hAnsi="Titillium"/>
          <w:sz w:val="20"/>
          <w:szCs w:val="20"/>
        </w:rPr>
      </w:pPr>
    </w:p>
    <w:p w:rsidR="00CD35B4" w:rsidRDefault="00FA4E1B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:rsidR="00CD35B4" w:rsidRDefault="00FA4E1B">
      <w:pPr>
        <w:pStyle w:val="Paragrafoelenco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Indicare il procedimento e le modalità seguite per condurre la ri</w:t>
      </w:r>
      <w:r>
        <w:rPr>
          <w:rFonts w:ascii="Titillium" w:hAnsi="Titillium"/>
          <w:sz w:val="20"/>
          <w:szCs w:val="20"/>
        </w:rPr>
        <w:t>levazione</w:t>
      </w:r>
      <w:r w:rsidR="000E005A">
        <w:rPr>
          <w:rFonts w:ascii="Titillium" w:hAnsi="Titillium"/>
          <w:sz w:val="20"/>
          <w:szCs w:val="20"/>
        </w:rPr>
        <w:t>:</w:t>
      </w:r>
    </w:p>
    <w:p w:rsidR="00CD35B4" w:rsidRDefault="00FA4E1B">
      <w:pPr>
        <w:pStyle w:val="Default"/>
        <w:numPr>
          <w:ilvl w:val="0"/>
          <w:numId w:val="2"/>
        </w:numPr>
        <w:tabs>
          <w:tab w:val="clear" w:pos="720"/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veri</w:t>
      </w:r>
      <w:r>
        <w:rPr>
          <w:rFonts w:ascii="Titillium" w:hAnsi="Titillium"/>
          <w:sz w:val="20"/>
          <w:szCs w:val="20"/>
        </w:rPr>
        <w:t>fica diretta sul sito istituzionale, anche attraverso l’utilizzo di supporti informatici.</w:t>
      </w:r>
    </w:p>
    <w:p w:rsidR="00CD35B4" w:rsidRDefault="00CD35B4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:rsidR="00CD35B4" w:rsidRDefault="00FA4E1B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:rsidR="00CD35B4" w:rsidRPr="000E005A" w:rsidRDefault="000E005A">
      <w:pPr>
        <w:spacing w:line="360" w:lineRule="auto"/>
        <w:rPr>
          <w:rFonts w:ascii="Titillium" w:hAnsi="Titillium"/>
          <w:sz w:val="20"/>
          <w:szCs w:val="20"/>
        </w:rPr>
      </w:pPr>
      <w:r w:rsidRPr="000E005A">
        <w:rPr>
          <w:rFonts w:ascii="Titillium" w:hAnsi="Titillium"/>
          <w:sz w:val="20"/>
          <w:szCs w:val="20"/>
        </w:rPr>
        <w:t>Nessuno</w:t>
      </w:r>
    </w:p>
    <w:p w:rsidR="00CD35B4" w:rsidRDefault="00CD35B4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:rsidR="00CD35B4" w:rsidRDefault="00FA4E1B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>
        <w:rPr>
          <w:rFonts w:ascii="Titillium" w:hAnsi="Titillium"/>
          <w:b/>
          <w:i/>
          <w:sz w:val="20"/>
          <w:szCs w:val="20"/>
        </w:rPr>
        <w:t>Eventuale documentazione da allegare</w:t>
      </w:r>
    </w:p>
    <w:p w:rsidR="000E005A" w:rsidRPr="000E005A" w:rsidRDefault="000E005A">
      <w:pPr>
        <w:spacing w:line="360" w:lineRule="auto"/>
        <w:rPr>
          <w:rFonts w:ascii="Titillium" w:hAnsi="Titillium"/>
          <w:sz w:val="20"/>
          <w:szCs w:val="20"/>
        </w:rPr>
      </w:pPr>
      <w:r w:rsidRPr="000E005A">
        <w:rPr>
          <w:rFonts w:ascii="Titillium" w:hAnsi="Titillium"/>
          <w:sz w:val="20"/>
          <w:szCs w:val="20"/>
        </w:rPr>
        <w:t>Nessuna</w:t>
      </w:r>
    </w:p>
    <w:sectPr w:rsidR="000E005A" w:rsidRPr="000E00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708" w:left="1134" w:header="708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4E1B" w:rsidRDefault="00FA4E1B">
      <w:pPr>
        <w:spacing w:after="0" w:line="240" w:lineRule="auto"/>
      </w:pPr>
      <w:r>
        <w:separator/>
      </w:r>
    </w:p>
  </w:endnote>
  <w:endnote w:type="continuationSeparator" w:id="0">
    <w:p w:rsidR="00FA4E1B" w:rsidRDefault="00FA4E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Tahom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tillium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B4" w:rsidRDefault="00CD35B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B4" w:rsidRDefault="00CD35B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B4" w:rsidRDefault="00CD35B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4E1B" w:rsidRDefault="00FA4E1B">
      <w:pPr>
        <w:spacing w:after="0" w:line="240" w:lineRule="auto"/>
      </w:pPr>
      <w:r>
        <w:separator/>
      </w:r>
    </w:p>
  </w:footnote>
  <w:footnote w:type="continuationSeparator" w:id="0">
    <w:p w:rsidR="00FA4E1B" w:rsidRDefault="00FA4E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B4" w:rsidRDefault="00CD35B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B4" w:rsidRDefault="00FA4E1B">
    <w:pPr>
      <w:pStyle w:val="Intestazione"/>
      <w:jc w:val="right"/>
      <w:rPr>
        <w:rFonts w:ascii="Garamond" w:hAnsi="Garamond"/>
        <w:b/>
      </w:rPr>
    </w:pPr>
    <w:r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7216" behindDoc="1" locked="0" layoutInCell="0" allowOverlap="1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0"/>
          <wp:wrapSquare wrapText="bothSides"/>
          <wp:docPr id="1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D35B4" w:rsidRDefault="00CD35B4">
    <w:pPr>
      <w:pStyle w:val="Intestazione"/>
      <w:jc w:val="right"/>
      <w:rPr>
        <w:rFonts w:ascii="Garamond" w:hAnsi="Garamond"/>
        <w:b/>
      </w:rPr>
    </w:pPr>
  </w:p>
  <w:p w:rsidR="00CD35B4" w:rsidRDefault="00FA4E1B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:rsidR="00CD35B4" w:rsidRDefault="00FA4E1B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>
      <w:rPr>
        <w:rFonts w:ascii="Titillium" w:hAnsi="Titillium"/>
        <w:b/>
        <w:sz w:val="20"/>
        <w:szCs w:val="20"/>
      </w:rPr>
      <w:t xml:space="preserve">Allegato 3 alla </w:t>
    </w:r>
    <w:r>
      <w:rPr>
        <w:rFonts w:ascii="Titillium" w:hAnsi="Titillium" w:cs="Times New Roman"/>
        <w:b/>
        <w:sz w:val="20"/>
        <w:szCs w:val="20"/>
      </w:rPr>
      <w:t>delibera ANAC n. 201/2022</w:t>
    </w:r>
  </w:p>
  <w:p w:rsidR="00CD35B4" w:rsidRDefault="00CD35B4">
    <w:pPr>
      <w:pStyle w:val="Intestazione"/>
      <w:jc w:val="right"/>
      <w:rPr>
        <w:rFonts w:ascii="Garamond" w:hAnsi="Garamond" w:cs="Times New Roman"/>
        <w:b/>
      </w:rPr>
    </w:pPr>
  </w:p>
  <w:p w:rsidR="00CD35B4" w:rsidRDefault="00CD35B4">
    <w:pPr>
      <w:pStyle w:val="Intestazione"/>
      <w:jc w:val="right"/>
      <w:rPr>
        <w:rFonts w:ascii="Garamond" w:hAnsi="Garamond" w:cs="Times New Roman"/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5B4" w:rsidRDefault="00FA4E1B">
    <w:pPr>
      <w:pStyle w:val="Intestazione"/>
      <w:jc w:val="right"/>
      <w:rPr>
        <w:rFonts w:ascii="Garamond" w:hAnsi="Garamond"/>
        <w:b/>
      </w:rPr>
    </w:pPr>
    <w:r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8240" behindDoc="1" locked="0" layoutInCell="0" allowOverlap="1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0"/>
          <wp:wrapSquare wrapText="bothSides"/>
          <wp:docPr id="2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D35B4" w:rsidRDefault="00CD35B4">
    <w:pPr>
      <w:pStyle w:val="Intestazione"/>
      <w:jc w:val="right"/>
      <w:rPr>
        <w:rFonts w:ascii="Garamond" w:hAnsi="Garamond"/>
        <w:b/>
      </w:rPr>
    </w:pPr>
  </w:p>
  <w:p w:rsidR="00CD35B4" w:rsidRDefault="00FA4E1B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:rsidR="00CD35B4" w:rsidRDefault="00FA4E1B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>
      <w:rPr>
        <w:rFonts w:ascii="Titillium" w:hAnsi="Titillium"/>
        <w:b/>
        <w:sz w:val="20"/>
        <w:szCs w:val="20"/>
      </w:rPr>
      <w:t xml:space="preserve">Allegato 3 alla </w:t>
    </w:r>
    <w:r>
      <w:rPr>
        <w:rFonts w:ascii="Titillium" w:hAnsi="Titillium" w:cs="Times New Roman"/>
        <w:b/>
        <w:sz w:val="20"/>
        <w:szCs w:val="20"/>
      </w:rPr>
      <w:t>delibera ANAC n. 201/2022</w:t>
    </w:r>
  </w:p>
  <w:p w:rsidR="00CD35B4" w:rsidRDefault="00CD35B4">
    <w:pPr>
      <w:pStyle w:val="Intestazione"/>
      <w:jc w:val="right"/>
      <w:rPr>
        <w:rFonts w:ascii="Garamond" w:hAnsi="Garamond" w:cs="Times New Roman"/>
        <w:b/>
      </w:rPr>
    </w:pPr>
  </w:p>
  <w:p w:rsidR="00CD35B4" w:rsidRDefault="00CD35B4">
    <w:pPr>
      <w:pStyle w:val="Intestazione"/>
      <w:jc w:val="right"/>
      <w:rPr>
        <w:rFonts w:ascii="Garamond" w:hAnsi="Garamond" w:cs="Times New Roman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C5691F"/>
    <w:multiLevelType w:val="multilevel"/>
    <w:tmpl w:val="46C680B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4A754113"/>
    <w:multiLevelType w:val="multilevel"/>
    <w:tmpl w:val="8DDA75E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B5C5B27"/>
    <w:multiLevelType w:val="multilevel"/>
    <w:tmpl w:val="40A676B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CD35B4"/>
    <w:rsid w:val="000E005A"/>
    <w:rsid w:val="00CD35B4"/>
    <w:rsid w:val="00FA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CF0A2"/>
  <w15:docId w15:val="{123DF200-EB00-4D52-ABBE-0DBDB66BD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keepNext/>
      <w:widowControl w:val="0"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Richiamoallanotaapidipagina">
    <w:name w:val="Richiamo alla nota a piè di pagina"/>
    <w:rPr>
      <w:sz w:val="14"/>
      <w:vertAlign w:val="superscript"/>
    </w:rPr>
  </w:style>
  <w:style w:type="character" w:customStyle="1" w:styleId="FootnoteCharacters">
    <w:name w:val="Footnote Characters"/>
    <w:basedOn w:val="Carpredefinitoparagrafo"/>
    <w:qFormat/>
    <w:rPr>
      <w:sz w:val="14"/>
      <w:vertAlign w:val="superscript"/>
    </w:rPr>
  </w:style>
  <w:style w:type="character" w:customStyle="1" w:styleId="TestonotaapidipaginaCarattere">
    <w:name w:val="Testo nota a piè di pagina Carattere"/>
    <w:basedOn w:val="Carpredefinitoparagrafo"/>
    <w:qFormat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qFormat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qFormat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qFormat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qFormat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qFormat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qFormat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qFormat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qFormat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qFormat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qFormat/>
    <w:rPr>
      <w:rFonts w:ascii="Courier New" w:hAnsi="Courier New" w:cs="Courier New"/>
    </w:rPr>
  </w:style>
  <w:style w:type="character" w:customStyle="1" w:styleId="WWCharLFO13LVL3">
    <w:name w:val="WW_CharLFO13LVL3"/>
    <w:qFormat/>
    <w:rPr>
      <w:rFonts w:ascii="Wingdings" w:hAnsi="Wingdings"/>
    </w:rPr>
  </w:style>
  <w:style w:type="character" w:customStyle="1" w:styleId="WWCharLFO13LVL4">
    <w:name w:val="WW_CharLFO13LVL4"/>
    <w:qFormat/>
    <w:rPr>
      <w:rFonts w:ascii="Symbol" w:hAnsi="Symbol"/>
    </w:rPr>
  </w:style>
  <w:style w:type="character" w:customStyle="1" w:styleId="WWCharLFO13LVL5">
    <w:name w:val="WW_CharLFO13LVL5"/>
    <w:qFormat/>
    <w:rPr>
      <w:rFonts w:ascii="Courier New" w:hAnsi="Courier New" w:cs="Courier New"/>
    </w:rPr>
  </w:style>
  <w:style w:type="character" w:customStyle="1" w:styleId="WWCharLFO13LVL6">
    <w:name w:val="WW_CharLFO13LVL6"/>
    <w:qFormat/>
    <w:rPr>
      <w:rFonts w:ascii="Wingdings" w:hAnsi="Wingdings"/>
    </w:rPr>
  </w:style>
  <w:style w:type="character" w:customStyle="1" w:styleId="WWCharLFO13LVL7">
    <w:name w:val="WW_CharLFO13LVL7"/>
    <w:qFormat/>
    <w:rPr>
      <w:rFonts w:ascii="Symbol" w:hAnsi="Symbol"/>
    </w:rPr>
  </w:style>
  <w:style w:type="character" w:customStyle="1" w:styleId="WWCharLFO13LVL8">
    <w:name w:val="WW_CharLFO13LVL8"/>
    <w:qFormat/>
    <w:rPr>
      <w:rFonts w:ascii="Courier New" w:hAnsi="Courier New" w:cs="Courier New"/>
    </w:rPr>
  </w:style>
  <w:style w:type="character" w:customStyle="1" w:styleId="WWCharLFO13LVL9">
    <w:name w:val="WW_CharLFO13LVL9"/>
    <w:qFormat/>
    <w:rPr>
      <w:rFonts w:ascii="Wingdings" w:hAnsi="Wingdings"/>
    </w:rPr>
  </w:style>
  <w:style w:type="character" w:customStyle="1" w:styleId="WWCharLFO15LVL1">
    <w:name w:val="WW_CharLFO15LVL1"/>
    <w:qFormat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qFormat/>
    <w:rPr>
      <w:rFonts w:ascii="Courier New" w:hAnsi="Courier New" w:cs="Courier New"/>
    </w:rPr>
  </w:style>
  <w:style w:type="character" w:customStyle="1" w:styleId="WWCharLFO15LVL3">
    <w:name w:val="WW_CharLFO15LVL3"/>
    <w:qFormat/>
    <w:rPr>
      <w:rFonts w:ascii="Wingdings" w:hAnsi="Wingdings"/>
    </w:rPr>
  </w:style>
  <w:style w:type="character" w:customStyle="1" w:styleId="WWCharLFO15LVL4">
    <w:name w:val="WW_CharLFO15LVL4"/>
    <w:qFormat/>
    <w:rPr>
      <w:rFonts w:ascii="Symbol" w:hAnsi="Symbol"/>
    </w:rPr>
  </w:style>
  <w:style w:type="character" w:customStyle="1" w:styleId="WWCharLFO15LVL5">
    <w:name w:val="WW_CharLFO15LVL5"/>
    <w:qFormat/>
    <w:rPr>
      <w:rFonts w:ascii="Courier New" w:hAnsi="Courier New" w:cs="Courier New"/>
    </w:rPr>
  </w:style>
  <w:style w:type="character" w:customStyle="1" w:styleId="WWCharLFO15LVL6">
    <w:name w:val="WW_CharLFO15LVL6"/>
    <w:qFormat/>
    <w:rPr>
      <w:rFonts w:ascii="Wingdings" w:hAnsi="Wingdings"/>
    </w:rPr>
  </w:style>
  <w:style w:type="character" w:customStyle="1" w:styleId="WWCharLFO15LVL7">
    <w:name w:val="WW_CharLFO15LVL7"/>
    <w:qFormat/>
    <w:rPr>
      <w:rFonts w:ascii="Symbol" w:hAnsi="Symbol"/>
    </w:rPr>
  </w:style>
  <w:style w:type="character" w:customStyle="1" w:styleId="WWCharLFO15LVL8">
    <w:name w:val="WW_CharLFO15LVL8"/>
    <w:qFormat/>
    <w:rPr>
      <w:rFonts w:ascii="Courier New" w:hAnsi="Courier New" w:cs="Courier New"/>
    </w:rPr>
  </w:style>
  <w:style w:type="character" w:customStyle="1" w:styleId="WWCharLFO15LVL9">
    <w:name w:val="WW_CharLFO15LVL9"/>
    <w:qFormat/>
    <w:rPr>
      <w:rFonts w:ascii="Wingdings" w:hAnsi="Wingdings"/>
    </w:rPr>
  </w:style>
  <w:style w:type="character" w:customStyle="1" w:styleId="Caratteredellanota">
    <w:name w:val="Carattere della nota"/>
    <w:qFormat/>
  </w:style>
  <w:style w:type="paragraph" w:styleId="Titolo">
    <w:name w:val="Title"/>
    <w:basedOn w:val="Normale"/>
    <w:next w:val="Corpotesto1"/>
    <w:autoRedefine/>
    <w:qFormat/>
    <w:p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testo1">
    <w:name w:val="Corpo testo1"/>
    <w:basedOn w:val="Normale"/>
  </w:style>
  <w:style w:type="paragraph" w:styleId="Elenco">
    <w:name w:val="List"/>
    <w:basedOn w:val="Corpotesto1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qFormat/>
    <w:pPr>
      <w:ind w:left="357" w:hanging="357"/>
    </w:p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qFormat/>
    <w:pPr>
      <w:keepNext/>
      <w:spacing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qFormat/>
    <w:rPr>
      <w:sz w:val="20"/>
      <w:szCs w:val="20"/>
    </w:rPr>
  </w:style>
  <w:style w:type="paragraph" w:styleId="Soggettocommento">
    <w:name w:val="annotation subject"/>
    <w:basedOn w:val="Testocommento"/>
    <w:next w:val="Testocommento"/>
    <w:qFormat/>
    <w:rPr>
      <w:b/>
      <w:bCs/>
    </w:rPr>
  </w:style>
  <w:style w:type="paragraph" w:styleId="Testofumetto">
    <w:name w:val="Balloon Text"/>
    <w:basedOn w:val="Normale"/>
    <w:qFormat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i.siciliani</dc:creator>
  <dc:description/>
  <cp:lastModifiedBy>Alessia Omodeo</cp:lastModifiedBy>
  <cp:revision>29</cp:revision>
  <cp:lastPrinted>2018-02-28T15:30:00Z</cp:lastPrinted>
  <dcterms:created xsi:type="dcterms:W3CDTF">2013-12-19T15:41:00Z</dcterms:created>
  <dcterms:modified xsi:type="dcterms:W3CDTF">2022-06-28T15:22:00Z</dcterms:modified>
  <dc:language>it-IT</dc:language>
</cp:coreProperties>
</file>